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D2E1CF" w14:textId="77777777" w:rsidR="002F53F7" w:rsidRDefault="002F53F7" w:rsidP="002F53F7">
      <w:pPr>
        <w:spacing w:line="560" w:lineRule="exact"/>
        <w:rPr>
          <w:rFonts w:ascii="方正公文黑体" w:eastAsia="方正公文黑体" w:hAnsi="方正公文黑体" w:cs="方正公文黑体" w:hint="eastAsia"/>
          <w:sz w:val="32"/>
          <w:szCs w:val="32"/>
        </w:rPr>
      </w:pPr>
      <w:bookmarkStart w:id="0" w:name="OLE_LINK2"/>
      <w:bookmarkStart w:id="1" w:name="_Hlk172563873"/>
      <w:bookmarkStart w:id="2" w:name="_Hlk172563808"/>
      <w:r>
        <w:rPr>
          <w:rFonts w:ascii="方正公文黑体" w:eastAsia="方正公文黑体" w:hAnsi="方正公文黑体" w:cs="方正公文黑体" w:hint="eastAsia"/>
          <w:sz w:val="32"/>
          <w:szCs w:val="32"/>
        </w:rPr>
        <w:t>附件</w:t>
      </w:r>
    </w:p>
    <w:p w14:paraId="682DB0F1" w14:textId="77777777" w:rsidR="002F53F7" w:rsidRDefault="002F53F7" w:rsidP="002F53F7">
      <w:pPr>
        <w:spacing w:beforeLines="200" w:before="624" w:afterLines="100" w:after="312" w:line="280" w:lineRule="exact"/>
        <w:jc w:val="center"/>
        <w:rPr>
          <w:rFonts w:ascii="Times New Roman" w:eastAsia="方正公文小标宋" w:hAnsi="Times New Roman"/>
          <w:sz w:val="40"/>
          <w:szCs w:val="40"/>
        </w:rPr>
      </w:pPr>
      <w:r>
        <w:rPr>
          <w:rFonts w:ascii="Times New Roman" w:eastAsia="方正公文小标宋" w:hAnsi="Times New Roman" w:hint="eastAsia"/>
          <w:sz w:val="40"/>
          <w:szCs w:val="40"/>
        </w:rPr>
        <w:t>国家密码管理局商用密码随机抽查事项清单（</w:t>
      </w:r>
      <w:r>
        <w:rPr>
          <w:rFonts w:ascii="Times New Roman" w:eastAsia="方正公文小标宋" w:hAnsi="Times New Roman"/>
          <w:sz w:val="40"/>
          <w:szCs w:val="40"/>
        </w:rPr>
        <w:t>2024</w:t>
      </w:r>
      <w:r>
        <w:rPr>
          <w:rFonts w:ascii="Times New Roman" w:eastAsia="方正公文小标宋" w:hAnsi="Times New Roman" w:hint="eastAsia"/>
          <w:sz w:val="40"/>
          <w:szCs w:val="40"/>
        </w:rPr>
        <w:t>年版）</w:t>
      </w:r>
    </w:p>
    <w:tbl>
      <w:tblPr>
        <w:tblW w:w="5150" w:type="pct"/>
        <w:jc w:val="center"/>
        <w:tblLook w:val="04A0" w:firstRow="1" w:lastRow="0" w:firstColumn="1" w:lastColumn="0" w:noHBand="0" w:noVBand="1"/>
      </w:tblPr>
      <w:tblGrid>
        <w:gridCol w:w="457"/>
        <w:gridCol w:w="718"/>
        <w:gridCol w:w="1183"/>
        <w:gridCol w:w="1802"/>
        <w:gridCol w:w="4812"/>
        <w:gridCol w:w="777"/>
        <w:gridCol w:w="1346"/>
        <w:gridCol w:w="2409"/>
        <w:gridCol w:w="1095"/>
      </w:tblGrid>
      <w:tr w:rsidR="002F53F7" w14:paraId="0A7F7B51" w14:textId="77777777" w:rsidTr="001A1024">
        <w:trPr>
          <w:trHeight w:val="578"/>
          <w:tblHeader/>
          <w:jc w:val="center"/>
        </w:trPr>
        <w:tc>
          <w:tcPr>
            <w:tcW w:w="157" w:type="pct"/>
            <w:tcBorders>
              <w:top w:val="single" w:sz="4" w:space="0" w:color="auto"/>
              <w:left w:val="single" w:sz="4" w:space="0" w:color="auto"/>
              <w:bottom w:val="single" w:sz="4" w:space="0" w:color="auto"/>
              <w:right w:val="single" w:sz="4" w:space="0" w:color="auto"/>
            </w:tcBorders>
            <w:vAlign w:val="center"/>
            <w:hideMark/>
          </w:tcPr>
          <w:p w14:paraId="3BE9F939"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序号</w:t>
            </w:r>
          </w:p>
        </w:tc>
        <w:tc>
          <w:tcPr>
            <w:tcW w:w="246" w:type="pct"/>
            <w:tcBorders>
              <w:top w:val="single" w:sz="4" w:space="0" w:color="auto"/>
              <w:left w:val="nil"/>
              <w:bottom w:val="single" w:sz="4" w:space="0" w:color="auto"/>
              <w:right w:val="single" w:sz="4" w:space="0" w:color="auto"/>
            </w:tcBorders>
            <w:vAlign w:val="center"/>
            <w:hideMark/>
          </w:tcPr>
          <w:p w14:paraId="1A0ADA39" w14:textId="77777777" w:rsidR="002F53F7" w:rsidRDefault="002F53F7">
            <w:pPr>
              <w:widowControl/>
              <w:spacing w:line="24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w:t>
            </w:r>
          </w:p>
          <w:p w14:paraId="2D62805E" w14:textId="77777777" w:rsidR="002F53F7" w:rsidRDefault="002F53F7">
            <w:pPr>
              <w:widowControl/>
              <w:spacing w:line="24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类别</w:t>
            </w:r>
          </w:p>
        </w:tc>
        <w:tc>
          <w:tcPr>
            <w:tcW w:w="405" w:type="pct"/>
            <w:tcBorders>
              <w:top w:val="single" w:sz="4" w:space="0" w:color="auto"/>
              <w:left w:val="nil"/>
              <w:bottom w:val="single" w:sz="4" w:space="0" w:color="auto"/>
              <w:right w:val="single" w:sz="4" w:space="0" w:color="auto"/>
            </w:tcBorders>
            <w:vAlign w:val="center"/>
            <w:hideMark/>
          </w:tcPr>
          <w:p w14:paraId="36E370D0"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w:t>
            </w:r>
          </w:p>
          <w:p w14:paraId="4E6BAD29"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事项</w:t>
            </w:r>
          </w:p>
        </w:tc>
        <w:tc>
          <w:tcPr>
            <w:tcW w:w="617" w:type="pct"/>
            <w:tcBorders>
              <w:top w:val="single" w:sz="4" w:space="0" w:color="auto"/>
              <w:left w:val="nil"/>
              <w:bottom w:val="single" w:sz="4" w:space="0" w:color="auto"/>
              <w:right w:val="single" w:sz="4" w:space="0" w:color="auto"/>
            </w:tcBorders>
            <w:vAlign w:val="center"/>
            <w:hideMark/>
          </w:tcPr>
          <w:p w14:paraId="13DED052"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抽查内容</w:t>
            </w:r>
          </w:p>
        </w:tc>
        <w:tc>
          <w:tcPr>
            <w:tcW w:w="1648" w:type="pct"/>
            <w:tcBorders>
              <w:top w:val="single" w:sz="4" w:space="0" w:color="auto"/>
              <w:left w:val="nil"/>
              <w:bottom w:val="single" w:sz="4" w:space="0" w:color="auto"/>
              <w:right w:val="single" w:sz="4" w:space="0" w:color="auto"/>
            </w:tcBorders>
            <w:vAlign w:val="center"/>
            <w:hideMark/>
          </w:tcPr>
          <w:p w14:paraId="65EA85C5"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抽查依据</w:t>
            </w:r>
          </w:p>
        </w:tc>
        <w:tc>
          <w:tcPr>
            <w:tcW w:w="266" w:type="pct"/>
            <w:tcBorders>
              <w:top w:val="single" w:sz="4" w:space="0" w:color="auto"/>
              <w:left w:val="nil"/>
              <w:bottom w:val="single" w:sz="4" w:space="0" w:color="auto"/>
              <w:right w:val="single" w:sz="4" w:space="0" w:color="auto"/>
            </w:tcBorders>
            <w:vAlign w:val="center"/>
            <w:hideMark/>
          </w:tcPr>
          <w:p w14:paraId="711AC84E"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w:t>
            </w:r>
          </w:p>
          <w:p w14:paraId="2B834E33"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主体</w:t>
            </w:r>
          </w:p>
        </w:tc>
        <w:tc>
          <w:tcPr>
            <w:tcW w:w="461" w:type="pct"/>
            <w:tcBorders>
              <w:top w:val="single" w:sz="4" w:space="0" w:color="auto"/>
              <w:left w:val="nil"/>
              <w:bottom w:val="single" w:sz="4" w:space="0" w:color="auto"/>
              <w:right w:val="single" w:sz="4" w:space="0" w:color="auto"/>
            </w:tcBorders>
            <w:vAlign w:val="center"/>
            <w:hideMark/>
          </w:tcPr>
          <w:p w14:paraId="675BC9B9"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w:t>
            </w:r>
          </w:p>
          <w:p w14:paraId="4756BE2F"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对象</w:t>
            </w:r>
          </w:p>
        </w:tc>
        <w:tc>
          <w:tcPr>
            <w:tcW w:w="825" w:type="pct"/>
            <w:tcBorders>
              <w:top w:val="single" w:sz="4" w:space="0" w:color="auto"/>
              <w:left w:val="nil"/>
              <w:bottom w:val="single" w:sz="4" w:space="0" w:color="auto"/>
              <w:right w:val="single" w:sz="4" w:space="0" w:color="auto"/>
            </w:tcBorders>
            <w:vAlign w:val="center"/>
            <w:hideMark/>
          </w:tcPr>
          <w:p w14:paraId="65CAF434"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抽查比例和频次</w:t>
            </w:r>
          </w:p>
        </w:tc>
        <w:tc>
          <w:tcPr>
            <w:tcW w:w="375" w:type="pct"/>
            <w:tcBorders>
              <w:top w:val="single" w:sz="4" w:space="0" w:color="auto"/>
              <w:left w:val="nil"/>
              <w:bottom w:val="single" w:sz="4" w:space="0" w:color="auto"/>
              <w:right w:val="single" w:sz="4" w:space="0" w:color="auto"/>
            </w:tcBorders>
            <w:vAlign w:val="center"/>
            <w:hideMark/>
          </w:tcPr>
          <w:p w14:paraId="360754A5"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抽查</w:t>
            </w:r>
          </w:p>
          <w:p w14:paraId="52470B0B" w14:textId="77777777" w:rsidR="002F53F7" w:rsidRDefault="002F53F7">
            <w:pPr>
              <w:widowControl/>
              <w:spacing w:line="280" w:lineRule="exact"/>
              <w:jc w:val="center"/>
              <w:rPr>
                <w:rFonts w:ascii="Times New Roman" w:eastAsia="方正公文黑体" w:hAnsi="Times New Roman"/>
                <w:bCs/>
                <w:color w:val="000000"/>
                <w:kern w:val="0"/>
                <w:sz w:val="24"/>
              </w:rPr>
            </w:pPr>
            <w:r>
              <w:rPr>
                <w:rFonts w:ascii="Times New Roman" w:eastAsia="方正公文黑体" w:hAnsi="Times New Roman" w:hint="eastAsia"/>
                <w:bCs/>
                <w:color w:val="000000"/>
                <w:kern w:val="0"/>
                <w:sz w:val="24"/>
              </w:rPr>
              <w:t>方式</w:t>
            </w:r>
          </w:p>
        </w:tc>
      </w:tr>
      <w:tr w:rsidR="002F53F7" w14:paraId="5584576A" w14:textId="77777777" w:rsidTr="000377BB">
        <w:trPr>
          <w:trHeight w:val="2645"/>
          <w:jc w:val="center"/>
        </w:trPr>
        <w:tc>
          <w:tcPr>
            <w:tcW w:w="157" w:type="pct"/>
            <w:tcBorders>
              <w:top w:val="single" w:sz="4" w:space="0" w:color="auto"/>
              <w:left w:val="single" w:sz="4" w:space="0" w:color="auto"/>
              <w:bottom w:val="single" w:sz="4" w:space="0" w:color="auto"/>
              <w:right w:val="single" w:sz="4" w:space="0" w:color="auto"/>
            </w:tcBorders>
            <w:vAlign w:val="center"/>
            <w:hideMark/>
          </w:tcPr>
          <w:p w14:paraId="57AA8F7E"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color w:val="000000"/>
                <w:kern w:val="0"/>
                <w:sz w:val="24"/>
              </w:rPr>
              <w:t>1</w:t>
            </w:r>
          </w:p>
        </w:tc>
        <w:tc>
          <w:tcPr>
            <w:tcW w:w="246" w:type="pct"/>
            <w:vMerge w:val="restart"/>
            <w:tcBorders>
              <w:top w:val="single" w:sz="4" w:space="0" w:color="auto"/>
              <w:left w:val="single" w:sz="4" w:space="0" w:color="auto"/>
              <w:bottom w:val="single" w:sz="4" w:space="0" w:color="auto"/>
              <w:right w:val="single" w:sz="4" w:space="0" w:color="auto"/>
            </w:tcBorders>
            <w:vAlign w:val="center"/>
            <w:hideMark/>
          </w:tcPr>
          <w:p w14:paraId="454FB009" w14:textId="77777777" w:rsidR="002F53F7" w:rsidRDefault="002F53F7" w:rsidP="000377BB">
            <w:pPr>
              <w:widowControl/>
              <w:spacing w:line="24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商用密码检测</w:t>
            </w:r>
          </w:p>
        </w:tc>
        <w:tc>
          <w:tcPr>
            <w:tcW w:w="405" w:type="pct"/>
            <w:tcBorders>
              <w:top w:val="single" w:sz="4" w:space="0" w:color="auto"/>
              <w:left w:val="single" w:sz="4" w:space="0" w:color="auto"/>
              <w:bottom w:val="single" w:sz="4" w:space="0" w:color="auto"/>
              <w:right w:val="single" w:sz="4" w:space="0" w:color="auto"/>
            </w:tcBorders>
            <w:vAlign w:val="center"/>
            <w:hideMark/>
          </w:tcPr>
          <w:p w14:paraId="1D212C41"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商用密码产品检测随机抽查</w:t>
            </w:r>
          </w:p>
        </w:tc>
        <w:tc>
          <w:tcPr>
            <w:tcW w:w="617" w:type="pct"/>
            <w:tcBorders>
              <w:top w:val="single" w:sz="4" w:space="0" w:color="auto"/>
              <w:left w:val="single" w:sz="4" w:space="0" w:color="auto"/>
              <w:bottom w:val="single" w:sz="4" w:space="0" w:color="auto"/>
              <w:right w:val="single" w:sz="4" w:space="0" w:color="auto"/>
            </w:tcBorders>
            <w:vAlign w:val="center"/>
            <w:hideMark/>
          </w:tcPr>
          <w:p w14:paraId="1CAB6B12"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符合资质认定条件和要求、遵守从业规范、开展商用密码产品检测活动、实施标准等情况</w:t>
            </w:r>
          </w:p>
        </w:tc>
        <w:tc>
          <w:tcPr>
            <w:tcW w:w="1648" w:type="pct"/>
            <w:tcBorders>
              <w:top w:val="single" w:sz="4" w:space="0" w:color="auto"/>
              <w:left w:val="single" w:sz="4" w:space="0" w:color="auto"/>
              <w:bottom w:val="single" w:sz="4" w:space="0" w:color="auto"/>
              <w:right w:val="single" w:sz="4" w:space="0" w:color="auto"/>
            </w:tcBorders>
            <w:vAlign w:val="center"/>
            <w:hideMark/>
          </w:tcPr>
          <w:p w14:paraId="42A19D9D" w14:textId="77777777" w:rsidR="001A1024"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《中华人民共和国密码法》第二十五条、第三十五条</w:t>
            </w:r>
          </w:p>
          <w:p w14:paraId="77A8DFB9" w14:textId="4D286FCB"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《商用密码管理条例》（国务院令第</w:t>
            </w:r>
            <w:r>
              <w:rPr>
                <w:rFonts w:ascii="Times New Roman" w:eastAsia="方正公文仿宋" w:hAnsi="Times New Roman"/>
                <w:color w:val="000000"/>
                <w:kern w:val="0"/>
                <w:sz w:val="24"/>
              </w:rPr>
              <w:t>760</w:t>
            </w:r>
            <w:r>
              <w:rPr>
                <w:rFonts w:ascii="Times New Roman" w:eastAsia="方正公文仿宋" w:hAnsi="Times New Roman" w:hint="eastAsia"/>
                <w:color w:val="000000"/>
                <w:kern w:val="0"/>
                <w:sz w:val="24"/>
              </w:rPr>
              <w:t>号）第十三条、第十四条、第十六条、第四十七条、第五十一条</w:t>
            </w:r>
          </w:p>
          <w:p w14:paraId="249BA841"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《商用密码检测机构管理办法》（国家密码管理局令第</w:t>
            </w:r>
            <w:r>
              <w:rPr>
                <w:rFonts w:ascii="Times New Roman" w:eastAsia="方正公文仿宋" w:hAnsi="Times New Roman"/>
                <w:color w:val="000000"/>
                <w:kern w:val="0"/>
                <w:sz w:val="24"/>
              </w:rPr>
              <w:t>2</w:t>
            </w:r>
            <w:r>
              <w:rPr>
                <w:rFonts w:ascii="Times New Roman" w:eastAsia="方正公文仿宋" w:hAnsi="Times New Roman" w:hint="eastAsia"/>
                <w:color w:val="000000"/>
                <w:kern w:val="0"/>
                <w:sz w:val="24"/>
              </w:rPr>
              <w:t>号）</w:t>
            </w:r>
            <w:r>
              <w:rPr>
                <w:rFonts w:ascii="Times New Roman" w:eastAsia="方正公文仿宋" w:hAnsi="Times New Roman" w:hint="eastAsia"/>
                <w:color w:val="000000"/>
                <w:kern w:val="0"/>
                <w:sz w:val="24"/>
                <w:lang w:val="en"/>
              </w:rPr>
              <w:t>第三条、</w:t>
            </w:r>
            <w:r>
              <w:rPr>
                <w:rFonts w:ascii="Times New Roman" w:eastAsia="方正公文仿宋" w:hAnsi="Times New Roman" w:hint="eastAsia"/>
                <w:color w:val="000000"/>
                <w:kern w:val="0"/>
                <w:sz w:val="24"/>
              </w:rPr>
              <w:t>第五条、第六条、第十二条、第十三条、第十四条、第十五条、第十六条、</w:t>
            </w:r>
            <w:r>
              <w:rPr>
                <w:rFonts w:ascii="Times New Roman" w:eastAsia="方正公文仿宋" w:hAnsi="Times New Roman" w:hint="eastAsia"/>
                <w:color w:val="000000"/>
                <w:kern w:val="0"/>
                <w:sz w:val="24"/>
                <w:lang w:val="en"/>
              </w:rPr>
              <w:t>第十七条、第十八条、第十九条、第二十条、第二十一条、第二十二条、第二十三条、第二十五条、第二十六条</w:t>
            </w:r>
          </w:p>
        </w:tc>
        <w:tc>
          <w:tcPr>
            <w:tcW w:w="266" w:type="pct"/>
            <w:tcBorders>
              <w:top w:val="single" w:sz="4" w:space="0" w:color="auto"/>
              <w:left w:val="single" w:sz="4" w:space="0" w:color="auto"/>
              <w:bottom w:val="single" w:sz="4" w:space="0" w:color="auto"/>
              <w:right w:val="single" w:sz="4" w:space="0" w:color="auto"/>
            </w:tcBorders>
            <w:vAlign w:val="center"/>
            <w:hideMark/>
          </w:tcPr>
          <w:p w14:paraId="02929CC2"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密码管理部门</w:t>
            </w:r>
          </w:p>
        </w:tc>
        <w:tc>
          <w:tcPr>
            <w:tcW w:w="461" w:type="pct"/>
            <w:tcBorders>
              <w:top w:val="single" w:sz="4" w:space="0" w:color="auto"/>
              <w:left w:val="single" w:sz="4" w:space="0" w:color="auto"/>
              <w:bottom w:val="single" w:sz="4" w:space="0" w:color="auto"/>
              <w:right w:val="single" w:sz="4" w:space="0" w:color="auto"/>
            </w:tcBorders>
            <w:vAlign w:val="center"/>
            <w:hideMark/>
          </w:tcPr>
          <w:p w14:paraId="4D947B78" w14:textId="77777777" w:rsidR="002F53F7" w:rsidRDefault="002F53F7" w:rsidP="001A1024">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商用密码检测机构（商用密码产品检测业务）</w:t>
            </w:r>
          </w:p>
        </w:tc>
        <w:tc>
          <w:tcPr>
            <w:tcW w:w="825" w:type="pct"/>
            <w:tcBorders>
              <w:top w:val="single" w:sz="4" w:space="0" w:color="auto"/>
              <w:left w:val="single" w:sz="4" w:space="0" w:color="auto"/>
              <w:bottom w:val="single" w:sz="4" w:space="0" w:color="auto"/>
              <w:right w:val="single" w:sz="4" w:space="0" w:color="auto"/>
            </w:tcBorders>
            <w:vAlign w:val="center"/>
            <w:hideMark/>
          </w:tcPr>
          <w:p w14:paraId="54517EE4"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在商用密码检测机构（商用密码产品检测业务）名录中随机抽取。</w:t>
            </w:r>
            <w:r>
              <w:rPr>
                <w:rFonts w:ascii="Times New Roman" w:eastAsia="方正公文仿宋" w:hAnsi="Times New Roman"/>
                <w:sz w:val="24"/>
              </w:rPr>
              <w:t>3</w:t>
            </w:r>
            <w:r>
              <w:rPr>
                <w:rFonts w:ascii="Times New Roman" w:eastAsia="方正公文仿宋" w:hAnsi="Times New Roman" w:hint="eastAsia"/>
                <w:sz w:val="24"/>
              </w:rPr>
              <w:t>年内已接受随机抽查、无违法违规行为的，不列入随机抽查范围</w:t>
            </w:r>
            <w:r>
              <w:rPr>
                <w:rFonts w:ascii="Times New Roman" w:eastAsia="方正公文仿宋" w:hAnsi="Times New Roman" w:hint="eastAsia"/>
                <w:color w:val="000000"/>
                <w:kern w:val="0"/>
                <w:sz w:val="24"/>
              </w:rPr>
              <w:t>。对随机抽查不合格的机构加大抽查频次。</w:t>
            </w:r>
          </w:p>
        </w:tc>
        <w:tc>
          <w:tcPr>
            <w:tcW w:w="375" w:type="pct"/>
            <w:tcBorders>
              <w:top w:val="single" w:sz="4" w:space="0" w:color="auto"/>
              <w:left w:val="single" w:sz="4" w:space="0" w:color="auto"/>
              <w:bottom w:val="single" w:sz="4" w:space="0" w:color="auto"/>
              <w:right w:val="single" w:sz="4" w:space="0" w:color="auto"/>
            </w:tcBorders>
            <w:vAlign w:val="center"/>
            <w:hideMark/>
          </w:tcPr>
          <w:p w14:paraId="557DC891" w14:textId="77777777" w:rsidR="002F53F7" w:rsidRDefault="002F53F7" w:rsidP="001A1024">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现场、书面、网络检查相结合</w:t>
            </w:r>
          </w:p>
        </w:tc>
      </w:tr>
      <w:tr w:rsidR="002F53F7" w14:paraId="224C4F5D" w14:textId="77777777" w:rsidTr="001A1024">
        <w:trPr>
          <w:trHeight w:val="3492"/>
          <w:jc w:val="center"/>
        </w:trPr>
        <w:tc>
          <w:tcPr>
            <w:tcW w:w="157" w:type="pct"/>
            <w:tcBorders>
              <w:top w:val="single" w:sz="4" w:space="0" w:color="auto"/>
              <w:left w:val="single" w:sz="4" w:space="0" w:color="auto"/>
              <w:bottom w:val="single" w:sz="4" w:space="0" w:color="auto"/>
              <w:right w:val="single" w:sz="4" w:space="0" w:color="auto"/>
            </w:tcBorders>
            <w:vAlign w:val="center"/>
            <w:hideMark/>
          </w:tcPr>
          <w:p w14:paraId="511A5732"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color w:val="000000"/>
                <w:kern w:val="0"/>
                <w:sz w:val="24"/>
              </w:rPr>
              <w:lastRenderedPageBreak/>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900342" w14:textId="77777777" w:rsidR="002F53F7" w:rsidRDefault="002F53F7">
            <w:pPr>
              <w:widowControl/>
              <w:jc w:val="left"/>
              <w:rPr>
                <w:rFonts w:ascii="Times New Roman" w:eastAsia="方正公文仿宋" w:hAnsi="Times New Roman"/>
                <w:color w:val="000000"/>
                <w:kern w:val="0"/>
                <w:sz w:val="24"/>
              </w:rPr>
            </w:pPr>
          </w:p>
        </w:tc>
        <w:tc>
          <w:tcPr>
            <w:tcW w:w="405" w:type="pct"/>
            <w:tcBorders>
              <w:top w:val="single" w:sz="4" w:space="0" w:color="auto"/>
              <w:left w:val="single" w:sz="4" w:space="0" w:color="auto"/>
              <w:bottom w:val="single" w:sz="4" w:space="0" w:color="auto"/>
              <w:right w:val="single" w:sz="4" w:space="0" w:color="auto"/>
            </w:tcBorders>
            <w:vAlign w:val="center"/>
            <w:hideMark/>
          </w:tcPr>
          <w:p w14:paraId="01DA02FA"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商用密码应用安全性评估随机抽查</w:t>
            </w:r>
          </w:p>
        </w:tc>
        <w:tc>
          <w:tcPr>
            <w:tcW w:w="617" w:type="pct"/>
            <w:tcBorders>
              <w:top w:val="single" w:sz="4" w:space="0" w:color="auto"/>
              <w:left w:val="single" w:sz="4" w:space="0" w:color="auto"/>
              <w:bottom w:val="single" w:sz="4" w:space="0" w:color="auto"/>
              <w:right w:val="single" w:sz="4" w:space="0" w:color="auto"/>
            </w:tcBorders>
            <w:vAlign w:val="center"/>
            <w:hideMark/>
          </w:tcPr>
          <w:p w14:paraId="23B0D803"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符合资质认定条件和要求、遵守从业规范、开展商用密码应用安全性评估活动、实施标准等情况</w:t>
            </w:r>
          </w:p>
        </w:tc>
        <w:tc>
          <w:tcPr>
            <w:tcW w:w="1648" w:type="pct"/>
            <w:tcBorders>
              <w:top w:val="single" w:sz="4" w:space="0" w:color="auto"/>
              <w:left w:val="single" w:sz="4" w:space="0" w:color="auto"/>
              <w:bottom w:val="single" w:sz="4" w:space="0" w:color="auto"/>
              <w:right w:val="single" w:sz="4" w:space="0" w:color="auto"/>
            </w:tcBorders>
            <w:vAlign w:val="center"/>
            <w:hideMark/>
          </w:tcPr>
          <w:p w14:paraId="525B9E7E" w14:textId="77777777" w:rsidR="002F53F7" w:rsidRDefault="002F53F7">
            <w:pPr>
              <w:widowControl/>
              <w:spacing w:line="280" w:lineRule="exact"/>
              <w:rPr>
                <w:rFonts w:ascii="Times New Roman" w:eastAsia="方正公文仿宋" w:hAnsi="Times New Roman"/>
                <w:color w:val="000000"/>
                <w:kern w:val="0"/>
                <w:sz w:val="24"/>
                <w:lang w:val="en"/>
              </w:rPr>
            </w:pPr>
            <w:r>
              <w:rPr>
                <w:rFonts w:ascii="Times New Roman" w:eastAsia="方正公文仿宋" w:hAnsi="Times New Roman" w:hint="eastAsia"/>
                <w:color w:val="000000"/>
                <w:kern w:val="0"/>
                <w:sz w:val="24"/>
                <w:lang w:val="en"/>
              </w:rPr>
              <w:t>《</w:t>
            </w:r>
            <w:r>
              <w:rPr>
                <w:rFonts w:ascii="Times New Roman" w:eastAsia="方正公文仿宋" w:hAnsi="Times New Roman" w:hint="eastAsia"/>
                <w:color w:val="000000"/>
                <w:kern w:val="0"/>
                <w:sz w:val="24"/>
              </w:rPr>
              <w:t>中华人民共和国</w:t>
            </w:r>
            <w:r>
              <w:rPr>
                <w:rFonts w:ascii="Times New Roman" w:eastAsia="方正公文仿宋" w:hAnsi="Times New Roman" w:hint="eastAsia"/>
                <w:color w:val="000000"/>
                <w:kern w:val="0"/>
                <w:sz w:val="24"/>
                <w:lang w:val="en"/>
              </w:rPr>
              <w:t>密码法》第二十五条、第三十五条</w:t>
            </w:r>
          </w:p>
          <w:p w14:paraId="1FDC297B" w14:textId="77777777" w:rsidR="002F53F7" w:rsidRDefault="002F53F7">
            <w:pPr>
              <w:widowControl/>
              <w:spacing w:line="280" w:lineRule="exact"/>
              <w:rPr>
                <w:rFonts w:ascii="Times New Roman" w:eastAsia="方正公文仿宋" w:hAnsi="Times New Roman"/>
                <w:color w:val="000000"/>
                <w:kern w:val="0"/>
                <w:sz w:val="24"/>
                <w:lang w:val="en"/>
              </w:rPr>
            </w:pPr>
            <w:r>
              <w:rPr>
                <w:rFonts w:ascii="Times New Roman" w:eastAsia="方正公文仿宋" w:hAnsi="Times New Roman" w:hint="eastAsia"/>
                <w:color w:val="000000"/>
                <w:kern w:val="0"/>
                <w:sz w:val="24"/>
                <w:lang w:val="en"/>
              </w:rPr>
              <w:t>《商用密码管理条例》</w:t>
            </w:r>
            <w:r>
              <w:rPr>
                <w:rFonts w:ascii="Times New Roman" w:eastAsia="方正公文仿宋" w:hAnsi="Times New Roman" w:hint="eastAsia"/>
                <w:color w:val="000000"/>
                <w:kern w:val="0"/>
                <w:sz w:val="24"/>
              </w:rPr>
              <w:t>（国务院令第</w:t>
            </w:r>
            <w:r>
              <w:rPr>
                <w:rFonts w:ascii="Times New Roman" w:eastAsia="方正公文仿宋" w:hAnsi="Times New Roman"/>
                <w:color w:val="000000"/>
                <w:kern w:val="0"/>
                <w:sz w:val="24"/>
              </w:rPr>
              <w:t>760</w:t>
            </w:r>
            <w:r>
              <w:rPr>
                <w:rFonts w:ascii="Times New Roman" w:eastAsia="方正公文仿宋" w:hAnsi="Times New Roman" w:hint="eastAsia"/>
                <w:color w:val="000000"/>
                <w:kern w:val="0"/>
                <w:sz w:val="24"/>
              </w:rPr>
              <w:t>号）</w:t>
            </w:r>
            <w:r>
              <w:rPr>
                <w:rFonts w:ascii="Times New Roman" w:eastAsia="方正公文仿宋" w:hAnsi="Times New Roman" w:hint="eastAsia"/>
                <w:color w:val="000000"/>
                <w:kern w:val="0"/>
                <w:sz w:val="24"/>
                <w:lang w:val="en"/>
              </w:rPr>
              <w:t>第十三条、第十四条、第十六条、</w:t>
            </w:r>
            <w:r>
              <w:rPr>
                <w:rFonts w:ascii="Times New Roman" w:eastAsia="方正公文仿宋" w:hAnsi="Times New Roman" w:hint="eastAsia"/>
                <w:color w:val="000000"/>
                <w:kern w:val="0"/>
                <w:sz w:val="24"/>
              </w:rPr>
              <w:t>第四十七条、</w:t>
            </w:r>
            <w:r>
              <w:rPr>
                <w:rFonts w:ascii="Times New Roman" w:eastAsia="方正公文仿宋" w:hAnsi="Times New Roman" w:hint="eastAsia"/>
                <w:color w:val="000000"/>
                <w:kern w:val="0"/>
                <w:sz w:val="24"/>
                <w:lang w:val="en"/>
              </w:rPr>
              <w:t>第五十一条</w:t>
            </w:r>
          </w:p>
          <w:p w14:paraId="5C302820" w14:textId="77777777" w:rsidR="002F53F7" w:rsidRDefault="002F53F7">
            <w:pPr>
              <w:widowControl/>
              <w:spacing w:line="280" w:lineRule="exact"/>
              <w:rPr>
                <w:rFonts w:ascii="Times New Roman" w:eastAsia="方正公文仿宋" w:hAnsi="Times New Roman"/>
                <w:color w:val="000000"/>
                <w:kern w:val="0"/>
                <w:sz w:val="24"/>
                <w:lang w:val="en"/>
              </w:rPr>
            </w:pPr>
            <w:r>
              <w:rPr>
                <w:rFonts w:ascii="Times New Roman" w:eastAsia="方正公文仿宋" w:hAnsi="Times New Roman" w:hint="eastAsia"/>
                <w:color w:val="000000"/>
                <w:kern w:val="0"/>
                <w:sz w:val="24"/>
                <w:lang w:val="en"/>
              </w:rPr>
              <w:t>《商用密码检测机构管理办法》</w:t>
            </w:r>
            <w:r>
              <w:rPr>
                <w:rFonts w:ascii="Times New Roman" w:eastAsia="方正公文仿宋" w:hAnsi="Times New Roman" w:hint="eastAsia"/>
                <w:color w:val="000000"/>
                <w:kern w:val="0"/>
                <w:sz w:val="24"/>
              </w:rPr>
              <w:t>（国家密码管理局令第</w:t>
            </w:r>
            <w:r>
              <w:rPr>
                <w:rFonts w:ascii="Times New Roman" w:eastAsia="方正公文仿宋" w:hAnsi="Times New Roman"/>
                <w:color w:val="000000"/>
                <w:kern w:val="0"/>
                <w:sz w:val="24"/>
              </w:rPr>
              <w:t>2</w:t>
            </w:r>
            <w:r>
              <w:rPr>
                <w:rFonts w:ascii="Times New Roman" w:eastAsia="方正公文仿宋" w:hAnsi="Times New Roman" w:hint="eastAsia"/>
                <w:color w:val="000000"/>
                <w:kern w:val="0"/>
                <w:sz w:val="24"/>
              </w:rPr>
              <w:t>号）</w:t>
            </w:r>
            <w:r>
              <w:rPr>
                <w:rFonts w:ascii="Times New Roman" w:eastAsia="方正公文仿宋" w:hAnsi="Times New Roman" w:hint="eastAsia"/>
                <w:color w:val="000000"/>
                <w:kern w:val="0"/>
                <w:sz w:val="24"/>
                <w:lang w:val="en"/>
              </w:rPr>
              <w:t>第三条、第五条、第六条、第十二条、第十三条、</w:t>
            </w:r>
            <w:r>
              <w:rPr>
                <w:rFonts w:ascii="Times New Roman" w:eastAsia="方正公文仿宋" w:hAnsi="Times New Roman" w:hint="eastAsia"/>
                <w:color w:val="000000"/>
                <w:kern w:val="0"/>
                <w:sz w:val="24"/>
              </w:rPr>
              <w:t>第十四条、</w:t>
            </w:r>
            <w:r>
              <w:rPr>
                <w:rFonts w:ascii="Times New Roman" w:eastAsia="方正公文仿宋" w:hAnsi="Times New Roman" w:hint="eastAsia"/>
                <w:color w:val="000000"/>
                <w:kern w:val="0"/>
                <w:sz w:val="24"/>
                <w:lang w:val="en"/>
              </w:rPr>
              <w:t>第十五条、第十六条、第十七条、第十八条、第十九条、第二十条、第二十一条、第二十二条、第二十三条、第二十五条、第二十六条</w:t>
            </w:r>
          </w:p>
          <w:p w14:paraId="3E8048AA" w14:textId="77777777" w:rsidR="002F53F7" w:rsidRDefault="002F53F7">
            <w:pPr>
              <w:widowControl/>
              <w:spacing w:line="280" w:lineRule="exact"/>
              <w:rPr>
                <w:rFonts w:ascii="Times New Roman" w:eastAsia="方正公文仿宋" w:hAnsi="Times New Roman"/>
                <w:color w:val="000000"/>
                <w:kern w:val="0"/>
                <w:sz w:val="24"/>
                <w:lang w:val="en"/>
              </w:rPr>
            </w:pPr>
            <w:r>
              <w:rPr>
                <w:rFonts w:ascii="Times New Roman" w:eastAsia="方正公文仿宋" w:hAnsi="Times New Roman" w:hint="eastAsia"/>
                <w:color w:val="000000"/>
                <w:kern w:val="0"/>
                <w:sz w:val="24"/>
                <w:lang w:val="en"/>
              </w:rPr>
              <w:t>《</w:t>
            </w:r>
            <w:r>
              <w:rPr>
                <w:rFonts w:ascii="Times New Roman" w:eastAsia="方正公文仿宋" w:hAnsi="Times New Roman" w:hint="eastAsia"/>
                <w:color w:val="000000"/>
                <w:kern w:val="0"/>
                <w:sz w:val="24"/>
              </w:rPr>
              <w:t>商用密码应用安全性评估管理办法</w:t>
            </w:r>
            <w:r>
              <w:rPr>
                <w:rFonts w:ascii="Times New Roman" w:eastAsia="方正公文仿宋" w:hAnsi="Times New Roman" w:hint="eastAsia"/>
                <w:color w:val="000000"/>
                <w:kern w:val="0"/>
                <w:sz w:val="24"/>
                <w:lang w:val="en"/>
              </w:rPr>
              <w:t>》（国家密码管理局令第</w:t>
            </w:r>
            <w:r>
              <w:rPr>
                <w:rFonts w:ascii="Times New Roman" w:eastAsia="方正公文仿宋" w:hAnsi="Times New Roman"/>
                <w:color w:val="000000"/>
                <w:kern w:val="0"/>
                <w:sz w:val="24"/>
                <w:lang w:val="en"/>
              </w:rPr>
              <w:t>3</w:t>
            </w:r>
            <w:r>
              <w:rPr>
                <w:rFonts w:ascii="Times New Roman" w:eastAsia="方正公文仿宋" w:hAnsi="Times New Roman" w:hint="eastAsia"/>
                <w:color w:val="000000"/>
                <w:kern w:val="0"/>
                <w:sz w:val="24"/>
                <w:lang w:val="en"/>
              </w:rPr>
              <w:t>号）第四条、第十条、第十一条</w:t>
            </w:r>
          </w:p>
        </w:tc>
        <w:tc>
          <w:tcPr>
            <w:tcW w:w="266" w:type="pct"/>
            <w:tcBorders>
              <w:top w:val="single" w:sz="4" w:space="0" w:color="auto"/>
              <w:left w:val="single" w:sz="4" w:space="0" w:color="auto"/>
              <w:bottom w:val="single" w:sz="4" w:space="0" w:color="auto"/>
              <w:right w:val="single" w:sz="4" w:space="0" w:color="auto"/>
            </w:tcBorders>
            <w:vAlign w:val="center"/>
            <w:hideMark/>
          </w:tcPr>
          <w:p w14:paraId="5A7070F5"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密码管理部门</w:t>
            </w:r>
          </w:p>
        </w:tc>
        <w:tc>
          <w:tcPr>
            <w:tcW w:w="461" w:type="pct"/>
            <w:tcBorders>
              <w:top w:val="single" w:sz="4" w:space="0" w:color="auto"/>
              <w:left w:val="single" w:sz="4" w:space="0" w:color="auto"/>
              <w:bottom w:val="single" w:sz="4" w:space="0" w:color="auto"/>
              <w:right w:val="single" w:sz="4" w:space="0" w:color="auto"/>
            </w:tcBorders>
            <w:vAlign w:val="center"/>
            <w:hideMark/>
          </w:tcPr>
          <w:p w14:paraId="26AA409F"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商用密码检测机构（商用密码应用安全性评估业务）</w:t>
            </w:r>
          </w:p>
        </w:tc>
        <w:tc>
          <w:tcPr>
            <w:tcW w:w="825" w:type="pct"/>
            <w:tcBorders>
              <w:top w:val="single" w:sz="4" w:space="0" w:color="auto"/>
              <w:left w:val="single" w:sz="4" w:space="0" w:color="auto"/>
              <w:bottom w:val="single" w:sz="4" w:space="0" w:color="auto"/>
              <w:right w:val="single" w:sz="4" w:space="0" w:color="auto"/>
            </w:tcBorders>
            <w:vAlign w:val="center"/>
            <w:hideMark/>
          </w:tcPr>
          <w:p w14:paraId="6C7DD087"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在商用密码检测机构（商用密码应用安全性评估业务）名录中随机抽取。</w:t>
            </w:r>
            <w:r>
              <w:rPr>
                <w:rFonts w:ascii="Times New Roman" w:eastAsia="方正公文仿宋" w:hAnsi="Times New Roman"/>
                <w:sz w:val="24"/>
              </w:rPr>
              <w:t>3</w:t>
            </w:r>
            <w:r>
              <w:rPr>
                <w:rFonts w:ascii="Times New Roman" w:eastAsia="方正公文仿宋" w:hAnsi="Times New Roman" w:hint="eastAsia"/>
                <w:sz w:val="24"/>
              </w:rPr>
              <w:t>年内已接受随机抽查、无违法违规行为的，不列入随机抽查范围</w:t>
            </w:r>
            <w:r>
              <w:rPr>
                <w:rFonts w:ascii="Times New Roman" w:eastAsia="方正公文仿宋" w:hAnsi="Times New Roman" w:hint="eastAsia"/>
                <w:color w:val="000000"/>
                <w:kern w:val="0"/>
                <w:sz w:val="24"/>
              </w:rPr>
              <w:t>。对随机抽查不合格的机构加大抽查频次。</w:t>
            </w:r>
          </w:p>
        </w:tc>
        <w:tc>
          <w:tcPr>
            <w:tcW w:w="375" w:type="pct"/>
            <w:tcBorders>
              <w:top w:val="single" w:sz="4" w:space="0" w:color="auto"/>
              <w:left w:val="single" w:sz="4" w:space="0" w:color="auto"/>
              <w:bottom w:val="single" w:sz="4" w:space="0" w:color="auto"/>
              <w:right w:val="single" w:sz="4" w:space="0" w:color="auto"/>
            </w:tcBorders>
            <w:vAlign w:val="center"/>
            <w:hideMark/>
          </w:tcPr>
          <w:p w14:paraId="31B5B0CC"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现场、书面、网络检查相结合</w:t>
            </w:r>
          </w:p>
        </w:tc>
      </w:tr>
      <w:tr w:rsidR="002F53F7" w14:paraId="48CEFB22" w14:textId="77777777" w:rsidTr="001A1024">
        <w:trPr>
          <w:trHeight w:val="3286"/>
          <w:jc w:val="center"/>
        </w:trPr>
        <w:tc>
          <w:tcPr>
            <w:tcW w:w="157" w:type="pct"/>
            <w:tcBorders>
              <w:top w:val="single" w:sz="4" w:space="0" w:color="auto"/>
              <w:left w:val="single" w:sz="4" w:space="0" w:color="auto"/>
              <w:bottom w:val="single" w:sz="4" w:space="0" w:color="auto"/>
              <w:right w:val="single" w:sz="4" w:space="0" w:color="auto"/>
            </w:tcBorders>
            <w:vAlign w:val="center"/>
            <w:hideMark/>
          </w:tcPr>
          <w:p w14:paraId="648D60AD"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color w:val="000000"/>
                <w:kern w:val="0"/>
                <w:sz w:val="24"/>
              </w:rPr>
              <w:t>3</w:t>
            </w:r>
          </w:p>
        </w:tc>
        <w:tc>
          <w:tcPr>
            <w:tcW w:w="246" w:type="pct"/>
            <w:tcBorders>
              <w:top w:val="single" w:sz="4" w:space="0" w:color="auto"/>
              <w:left w:val="nil"/>
              <w:bottom w:val="single" w:sz="4" w:space="0" w:color="auto"/>
              <w:right w:val="single" w:sz="4" w:space="0" w:color="auto"/>
            </w:tcBorders>
            <w:vAlign w:val="center"/>
            <w:hideMark/>
          </w:tcPr>
          <w:p w14:paraId="1EC2A80A" w14:textId="77777777" w:rsidR="002F53F7" w:rsidRDefault="002F53F7">
            <w:pPr>
              <w:widowControl/>
              <w:spacing w:line="24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商用密码应用</w:t>
            </w:r>
          </w:p>
        </w:tc>
        <w:tc>
          <w:tcPr>
            <w:tcW w:w="405" w:type="pct"/>
            <w:tcBorders>
              <w:top w:val="single" w:sz="4" w:space="0" w:color="auto"/>
              <w:left w:val="nil"/>
              <w:bottom w:val="single" w:sz="4" w:space="0" w:color="auto"/>
              <w:right w:val="single" w:sz="4" w:space="0" w:color="auto"/>
            </w:tcBorders>
            <w:vAlign w:val="center"/>
            <w:hideMark/>
          </w:tcPr>
          <w:p w14:paraId="2CB53D48"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商用密码应用随机抽查</w:t>
            </w:r>
          </w:p>
        </w:tc>
        <w:tc>
          <w:tcPr>
            <w:tcW w:w="617" w:type="pct"/>
            <w:tcBorders>
              <w:top w:val="single" w:sz="4" w:space="0" w:color="auto"/>
              <w:left w:val="nil"/>
              <w:bottom w:val="single" w:sz="4" w:space="0" w:color="auto"/>
              <w:right w:val="single" w:sz="4" w:space="0" w:color="auto"/>
            </w:tcBorders>
            <w:vAlign w:val="center"/>
            <w:hideMark/>
          </w:tcPr>
          <w:p w14:paraId="3FFCCF18"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使用商用密码技术、产品和服务的合</w:t>
            </w:r>
            <w:proofErr w:type="gramStart"/>
            <w:r>
              <w:rPr>
                <w:rFonts w:ascii="Times New Roman" w:eastAsia="方正公文仿宋" w:hAnsi="Times New Roman" w:hint="eastAsia"/>
                <w:color w:val="000000"/>
                <w:kern w:val="0"/>
                <w:sz w:val="24"/>
              </w:rPr>
              <w:t>规</w:t>
            </w:r>
            <w:proofErr w:type="gramEnd"/>
            <w:r>
              <w:rPr>
                <w:rFonts w:ascii="Times New Roman" w:eastAsia="方正公文仿宋" w:hAnsi="Times New Roman" w:hint="eastAsia"/>
                <w:color w:val="000000"/>
                <w:kern w:val="0"/>
                <w:sz w:val="24"/>
              </w:rPr>
              <w:t>性、正确性、有效性</w:t>
            </w:r>
          </w:p>
        </w:tc>
        <w:tc>
          <w:tcPr>
            <w:tcW w:w="1648" w:type="pct"/>
            <w:tcBorders>
              <w:top w:val="single" w:sz="4" w:space="0" w:color="auto"/>
              <w:left w:val="nil"/>
              <w:bottom w:val="single" w:sz="4" w:space="0" w:color="auto"/>
              <w:right w:val="single" w:sz="4" w:space="0" w:color="auto"/>
            </w:tcBorders>
            <w:vAlign w:val="center"/>
            <w:hideMark/>
          </w:tcPr>
          <w:p w14:paraId="60A1A0B0"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《中华人民共和国密码法》第二十七条、第三十七条</w:t>
            </w:r>
          </w:p>
          <w:p w14:paraId="339E5907"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《商用密码管理条例》（国务院令第</w:t>
            </w:r>
            <w:r>
              <w:rPr>
                <w:rFonts w:ascii="Times New Roman" w:eastAsia="方正公文仿宋" w:hAnsi="Times New Roman"/>
                <w:color w:val="000000"/>
                <w:kern w:val="0"/>
                <w:sz w:val="24"/>
              </w:rPr>
              <w:t>760</w:t>
            </w:r>
            <w:r>
              <w:rPr>
                <w:rFonts w:ascii="Times New Roman" w:eastAsia="方正公文仿宋" w:hAnsi="Times New Roman" w:hint="eastAsia"/>
                <w:color w:val="000000"/>
                <w:kern w:val="0"/>
                <w:sz w:val="24"/>
              </w:rPr>
              <w:t>号）第三十八条、第三十九条、第四十一条、第六十条、第六十二条、第六十四条</w:t>
            </w:r>
          </w:p>
          <w:p w14:paraId="5CCA3A42"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《商用密码应用安全性评估管理办法》</w:t>
            </w:r>
            <w:r>
              <w:rPr>
                <w:rFonts w:ascii="Times New Roman" w:eastAsia="方正公文仿宋" w:hAnsi="Times New Roman" w:hint="eastAsia"/>
                <w:color w:val="000000"/>
                <w:kern w:val="0"/>
                <w:sz w:val="24"/>
                <w:lang w:val="en"/>
              </w:rPr>
              <w:t>（国家密码管理局令第</w:t>
            </w:r>
            <w:r>
              <w:rPr>
                <w:rFonts w:ascii="Times New Roman" w:eastAsia="方正公文仿宋" w:hAnsi="Times New Roman"/>
                <w:color w:val="000000"/>
                <w:kern w:val="0"/>
                <w:sz w:val="24"/>
                <w:lang w:val="en"/>
              </w:rPr>
              <w:t>3</w:t>
            </w:r>
            <w:r>
              <w:rPr>
                <w:rFonts w:ascii="Times New Roman" w:eastAsia="方正公文仿宋" w:hAnsi="Times New Roman" w:hint="eastAsia"/>
                <w:color w:val="000000"/>
                <w:kern w:val="0"/>
                <w:sz w:val="24"/>
                <w:lang w:val="en"/>
              </w:rPr>
              <w:t>号）</w:t>
            </w:r>
            <w:r>
              <w:rPr>
                <w:rFonts w:ascii="Times New Roman" w:eastAsia="方正公文仿宋" w:hAnsi="Times New Roman" w:hint="eastAsia"/>
                <w:color w:val="000000"/>
                <w:kern w:val="0"/>
                <w:sz w:val="24"/>
              </w:rPr>
              <w:t>第六条、第七条、第八条、第九条、</w:t>
            </w:r>
            <w:r>
              <w:rPr>
                <w:rFonts w:ascii="Times New Roman" w:eastAsia="方正公文仿宋" w:hAnsi="Times New Roman" w:hint="eastAsia"/>
                <w:color w:val="000000"/>
                <w:kern w:val="0"/>
                <w:sz w:val="24"/>
                <w:lang w:val="en"/>
              </w:rPr>
              <w:t>第十条、第十一条、</w:t>
            </w:r>
            <w:r>
              <w:rPr>
                <w:rFonts w:ascii="Times New Roman" w:eastAsia="方正公文仿宋" w:hAnsi="Times New Roman" w:hint="eastAsia"/>
                <w:color w:val="000000"/>
                <w:kern w:val="0"/>
                <w:sz w:val="24"/>
              </w:rPr>
              <w:t>第十二条、第十三条、第十四条、第十五条、第十七条、第十八条</w:t>
            </w:r>
          </w:p>
        </w:tc>
        <w:tc>
          <w:tcPr>
            <w:tcW w:w="266" w:type="pct"/>
            <w:tcBorders>
              <w:top w:val="single" w:sz="4" w:space="0" w:color="auto"/>
              <w:left w:val="nil"/>
              <w:bottom w:val="single" w:sz="4" w:space="0" w:color="auto"/>
              <w:right w:val="single" w:sz="4" w:space="0" w:color="auto"/>
            </w:tcBorders>
            <w:vAlign w:val="center"/>
            <w:hideMark/>
          </w:tcPr>
          <w:p w14:paraId="5529D236"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密码管理部门</w:t>
            </w:r>
          </w:p>
        </w:tc>
        <w:tc>
          <w:tcPr>
            <w:tcW w:w="461" w:type="pct"/>
            <w:tcBorders>
              <w:top w:val="single" w:sz="4" w:space="0" w:color="auto"/>
              <w:left w:val="nil"/>
              <w:bottom w:val="single" w:sz="4" w:space="0" w:color="auto"/>
              <w:right w:val="single" w:sz="4" w:space="0" w:color="auto"/>
            </w:tcBorders>
            <w:vAlign w:val="center"/>
            <w:hideMark/>
          </w:tcPr>
          <w:p w14:paraId="40725276"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法律、行政法规和国家有关规定要求使用商用密码进行保护的网络与信息系统运营者</w:t>
            </w:r>
          </w:p>
        </w:tc>
        <w:tc>
          <w:tcPr>
            <w:tcW w:w="825" w:type="pct"/>
            <w:tcBorders>
              <w:top w:val="single" w:sz="4" w:space="0" w:color="auto"/>
              <w:left w:val="nil"/>
              <w:bottom w:val="single" w:sz="4" w:space="0" w:color="auto"/>
              <w:right w:val="single" w:sz="4" w:space="0" w:color="auto"/>
            </w:tcBorders>
            <w:vAlign w:val="center"/>
            <w:hideMark/>
          </w:tcPr>
          <w:p w14:paraId="7CD24178"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从法律、行政法规和国家有关规定要求使用商用密码进行保护的网络与信息系统运营者中随机抽取。</w:t>
            </w:r>
            <w:r>
              <w:rPr>
                <w:rFonts w:ascii="Times New Roman" w:eastAsia="方正公文仿宋" w:hAnsi="Times New Roman"/>
                <w:sz w:val="24"/>
              </w:rPr>
              <w:t>3</w:t>
            </w:r>
            <w:r>
              <w:rPr>
                <w:rFonts w:ascii="Times New Roman" w:eastAsia="方正公文仿宋" w:hAnsi="Times New Roman" w:hint="eastAsia"/>
                <w:sz w:val="24"/>
              </w:rPr>
              <w:t>年内已接受随机抽查、无违法违规行为的，不列入随机抽查范围</w:t>
            </w:r>
            <w:r>
              <w:rPr>
                <w:rFonts w:ascii="Times New Roman" w:eastAsia="方正公文仿宋" w:hAnsi="Times New Roman" w:hint="eastAsia"/>
                <w:color w:val="000000"/>
                <w:kern w:val="0"/>
                <w:sz w:val="24"/>
              </w:rPr>
              <w:t>。对</w:t>
            </w:r>
            <w:r>
              <w:rPr>
                <w:rFonts w:ascii="Times New Roman" w:eastAsia="方正公文仿宋" w:hAnsi="Times New Roman" w:hint="eastAsia"/>
                <w:color w:val="000000"/>
                <w:kern w:val="0"/>
                <w:sz w:val="24"/>
                <w:lang w:val="en"/>
              </w:rPr>
              <w:t>随机抽查</w:t>
            </w:r>
            <w:r>
              <w:rPr>
                <w:rFonts w:ascii="Times New Roman" w:eastAsia="方正公文仿宋" w:hAnsi="Times New Roman" w:hint="eastAsia"/>
                <w:color w:val="000000"/>
                <w:kern w:val="0"/>
                <w:sz w:val="24"/>
              </w:rPr>
              <w:t>不合格的运营者加大抽查频次。</w:t>
            </w:r>
          </w:p>
        </w:tc>
        <w:tc>
          <w:tcPr>
            <w:tcW w:w="375" w:type="pct"/>
            <w:tcBorders>
              <w:top w:val="single" w:sz="4" w:space="0" w:color="auto"/>
              <w:left w:val="nil"/>
              <w:bottom w:val="single" w:sz="4" w:space="0" w:color="auto"/>
              <w:right w:val="single" w:sz="4" w:space="0" w:color="auto"/>
            </w:tcBorders>
            <w:vAlign w:val="center"/>
            <w:hideMark/>
          </w:tcPr>
          <w:p w14:paraId="2926992C"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现场、书面、网络检查相结合</w:t>
            </w:r>
          </w:p>
        </w:tc>
      </w:tr>
      <w:tr w:rsidR="002F53F7" w14:paraId="5A832A5A" w14:textId="77777777" w:rsidTr="001A1024">
        <w:trPr>
          <w:trHeight w:val="2801"/>
          <w:jc w:val="center"/>
        </w:trPr>
        <w:tc>
          <w:tcPr>
            <w:tcW w:w="157" w:type="pct"/>
            <w:tcBorders>
              <w:top w:val="single" w:sz="4" w:space="0" w:color="auto"/>
              <w:left w:val="single" w:sz="4" w:space="0" w:color="auto"/>
              <w:bottom w:val="single" w:sz="4" w:space="0" w:color="auto"/>
              <w:right w:val="single" w:sz="4" w:space="0" w:color="auto"/>
            </w:tcBorders>
            <w:vAlign w:val="center"/>
            <w:hideMark/>
          </w:tcPr>
          <w:p w14:paraId="47853280"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color w:val="000000"/>
                <w:kern w:val="0"/>
                <w:sz w:val="24"/>
              </w:rPr>
              <w:lastRenderedPageBreak/>
              <w:t>4</w:t>
            </w:r>
          </w:p>
        </w:tc>
        <w:tc>
          <w:tcPr>
            <w:tcW w:w="246" w:type="pct"/>
            <w:tcBorders>
              <w:top w:val="single" w:sz="4" w:space="0" w:color="auto"/>
              <w:left w:val="nil"/>
              <w:bottom w:val="single" w:sz="4" w:space="0" w:color="auto"/>
              <w:right w:val="single" w:sz="4" w:space="0" w:color="auto"/>
            </w:tcBorders>
            <w:vAlign w:val="center"/>
            <w:hideMark/>
          </w:tcPr>
          <w:p w14:paraId="5BEF2899" w14:textId="77777777" w:rsidR="002F53F7" w:rsidRDefault="002F53F7">
            <w:pPr>
              <w:widowControl/>
              <w:spacing w:line="24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电子认证服务使用密码</w:t>
            </w:r>
          </w:p>
        </w:tc>
        <w:tc>
          <w:tcPr>
            <w:tcW w:w="405" w:type="pct"/>
            <w:tcBorders>
              <w:top w:val="single" w:sz="4" w:space="0" w:color="auto"/>
              <w:left w:val="nil"/>
              <w:bottom w:val="single" w:sz="4" w:space="0" w:color="auto"/>
              <w:right w:val="single" w:sz="4" w:space="0" w:color="auto"/>
            </w:tcBorders>
            <w:vAlign w:val="center"/>
            <w:hideMark/>
          </w:tcPr>
          <w:p w14:paraId="00F55618"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电子认证服务使用密码随机抽查</w:t>
            </w:r>
          </w:p>
        </w:tc>
        <w:tc>
          <w:tcPr>
            <w:tcW w:w="617" w:type="pct"/>
            <w:tcBorders>
              <w:top w:val="single" w:sz="4" w:space="0" w:color="auto"/>
              <w:left w:val="nil"/>
              <w:bottom w:val="single" w:sz="4" w:space="0" w:color="auto"/>
              <w:right w:val="single" w:sz="4" w:space="0" w:color="auto"/>
            </w:tcBorders>
            <w:vAlign w:val="center"/>
            <w:hideMark/>
          </w:tcPr>
          <w:p w14:paraId="5EF48865" w14:textId="77777777" w:rsidR="002F53F7" w:rsidRDefault="002F53F7">
            <w:pPr>
              <w:widowControl/>
              <w:spacing w:line="280" w:lineRule="exact"/>
              <w:rPr>
                <w:rFonts w:ascii="Times New Roman" w:eastAsia="方正公文仿宋" w:hAnsi="Times New Roman"/>
                <w:color w:val="000000"/>
                <w:kern w:val="0"/>
                <w:sz w:val="24"/>
                <w:lang w:val="en"/>
              </w:rPr>
            </w:pPr>
            <w:r>
              <w:rPr>
                <w:rFonts w:ascii="Times New Roman" w:eastAsia="方正公文仿宋" w:hAnsi="Times New Roman" w:hint="eastAsia"/>
                <w:color w:val="000000"/>
                <w:kern w:val="0"/>
                <w:sz w:val="24"/>
              </w:rPr>
              <w:t>符合许可条件和要求、遵守电子认证服务使用密码相关法律法规和技术规范、规则等情况</w:t>
            </w:r>
          </w:p>
        </w:tc>
        <w:tc>
          <w:tcPr>
            <w:tcW w:w="1648" w:type="pct"/>
            <w:tcBorders>
              <w:top w:val="single" w:sz="4" w:space="0" w:color="auto"/>
              <w:left w:val="nil"/>
              <w:bottom w:val="single" w:sz="4" w:space="0" w:color="auto"/>
              <w:right w:val="single" w:sz="4" w:space="0" w:color="auto"/>
            </w:tcBorders>
            <w:vAlign w:val="center"/>
            <w:hideMark/>
          </w:tcPr>
          <w:p w14:paraId="662174F0"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《中华人民共和国电子签名法》第十七条</w:t>
            </w:r>
          </w:p>
          <w:p w14:paraId="2C901639"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《商用密码管理条例》（国务院令第</w:t>
            </w:r>
            <w:r>
              <w:rPr>
                <w:rFonts w:ascii="Times New Roman" w:eastAsia="方正公文仿宋" w:hAnsi="Times New Roman"/>
                <w:color w:val="000000"/>
                <w:kern w:val="0"/>
                <w:sz w:val="24"/>
              </w:rPr>
              <w:t>760</w:t>
            </w:r>
            <w:r>
              <w:rPr>
                <w:rFonts w:ascii="Times New Roman" w:eastAsia="方正公文仿宋" w:hAnsi="Times New Roman" w:hint="eastAsia"/>
                <w:color w:val="000000"/>
                <w:kern w:val="0"/>
                <w:sz w:val="24"/>
              </w:rPr>
              <w:t>号）第二十二条、第二十三条、第五十四条</w:t>
            </w:r>
          </w:p>
          <w:p w14:paraId="2EB145ED"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lang w:val="en"/>
              </w:rPr>
              <w:t>《电子认证服务密码管理办法》（国家密码管理局公告第</w:t>
            </w:r>
            <w:r>
              <w:rPr>
                <w:rFonts w:ascii="Times New Roman" w:eastAsia="方正公文仿宋" w:hAnsi="Times New Roman"/>
                <w:color w:val="000000"/>
                <w:kern w:val="0"/>
                <w:sz w:val="24"/>
                <w:lang w:val="en"/>
              </w:rPr>
              <w:t>17</w:t>
            </w:r>
            <w:r>
              <w:rPr>
                <w:rFonts w:ascii="Times New Roman" w:eastAsia="方正公文仿宋" w:hAnsi="Times New Roman" w:hint="eastAsia"/>
                <w:color w:val="000000"/>
                <w:kern w:val="0"/>
                <w:sz w:val="24"/>
                <w:lang w:val="en"/>
              </w:rPr>
              <w:t>号公布，国家密码管理局公告第</w:t>
            </w:r>
            <w:r>
              <w:rPr>
                <w:rFonts w:ascii="Times New Roman" w:eastAsia="方正公文仿宋" w:hAnsi="Times New Roman"/>
                <w:color w:val="000000"/>
                <w:kern w:val="0"/>
                <w:sz w:val="24"/>
                <w:lang w:val="en"/>
              </w:rPr>
              <w:t>32</w:t>
            </w:r>
            <w:r>
              <w:rPr>
                <w:rFonts w:ascii="Times New Roman" w:eastAsia="方正公文仿宋" w:hAnsi="Times New Roman" w:hint="eastAsia"/>
                <w:color w:val="000000"/>
                <w:kern w:val="0"/>
                <w:sz w:val="24"/>
                <w:lang w:val="en"/>
              </w:rPr>
              <w:t>号修正）第三条、</w:t>
            </w:r>
            <w:r>
              <w:rPr>
                <w:rFonts w:ascii="Times New Roman" w:eastAsia="方正公文仿宋" w:hAnsi="Times New Roman" w:hint="eastAsia"/>
                <w:color w:val="000000"/>
                <w:kern w:val="0"/>
                <w:sz w:val="24"/>
              </w:rPr>
              <w:t>第五条、第六条、第七条、第十一条、第十二条、第十三条、</w:t>
            </w:r>
            <w:r>
              <w:rPr>
                <w:rFonts w:ascii="Times New Roman" w:eastAsia="方正公文仿宋" w:hAnsi="Times New Roman" w:hint="eastAsia"/>
                <w:color w:val="000000"/>
                <w:kern w:val="0"/>
                <w:sz w:val="24"/>
                <w:lang w:val="en"/>
              </w:rPr>
              <w:t>第十四条、第十五条、第十六条</w:t>
            </w:r>
          </w:p>
        </w:tc>
        <w:tc>
          <w:tcPr>
            <w:tcW w:w="266" w:type="pct"/>
            <w:tcBorders>
              <w:top w:val="single" w:sz="4" w:space="0" w:color="auto"/>
              <w:left w:val="nil"/>
              <w:bottom w:val="single" w:sz="4" w:space="0" w:color="auto"/>
              <w:right w:val="single" w:sz="4" w:space="0" w:color="auto"/>
            </w:tcBorders>
            <w:vAlign w:val="center"/>
            <w:hideMark/>
          </w:tcPr>
          <w:p w14:paraId="61D457EF"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密码管理部门</w:t>
            </w:r>
          </w:p>
        </w:tc>
        <w:tc>
          <w:tcPr>
            <w:tcW w:w="461" w:type="pct"/>
            <w:tcBorders>
              <w:top w:val="single" w:sz="4" w:space="0" w:color="auto"/>
              <w:left w:val="nil"/>
              <w:bottom w:val="single" w:sz="4" w:space="0" w:color="auto"/>
              <w:right w:val="single" w:sz="4" w:space="0" w:color="auto"/>
            </w:tcBorders>
            <w:vAlign w:val="center"/>
            <w:hideMark/>
          </w:tcPr>
          <w:p w14:paraId="2A3E4690"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电子认证服务使用密码许可单位</w:t>
            </w:r>
          </w:p>
        </w:tc>
        <w:tc>
          <w:tcPr>
            <w:tcW w:w="825" w:type="pct"/>
            <w:tcBorders>
              <w:top w:val="single" w:sz="4" w:space="0" w:color="auto"/>
              <w:left w:val="nil"/>
              <w:bottom w:val="single" w:sz="4" w:space="0" w:color="auto"/>
              <w:right w:val="single" w:sz="4" w:space="0" w:color="auto"/>
            </w:tcBorders>
            <w:vAlign w:val="center"/>
            <w:hideMark/>
          </w:tcPr>
          <w:p w14:paraId="3225DAE1"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从电子认证服务使用密码许可单位名录中随机抽取。</w:t>
            </w:r>
            <w:r>
              <w:rPr>
                <w:rFonts w:ascii="Times New Roman" w:eastAsia="方正公文仿宋" w:hAnsi="Times New Roman"/>
                <w:sz w:val="24"/>
              </w:rPr>
              <w:t>3</w:t>
            </w:r>
            <w:r>
              <w:rPr>
                <w:rFonts w:ascii="Times New Roman" w:eastAsia="方正公文仿宋" w:hAnsi="Times New Roman" w:hint="eastAsia"/>
                <w:sz w:val="24"/>
              </w:rPr>
              <w:t>年内已接受随机抽查、无违法违规行为的，不列入随机抽查范围</w:t>
            </w:r>
            <w:r>
              <w:rPr>
                <w:rFonts w:ascii="Times New Roman" w:eastAsia="方正公文仿宋" w:hAnsi="Times New Roman" w:hint="eastAsia"/>
                <w:color w:val="000000"/>
                <w:kern w:val="0"/>
                <w:sz w:val="24"/>
              </w:rPr>
              <w:t>。对</w:t>
            </w:r>
            <w:r>
              <w:rPr>
                <w:rFonts w:ascii="Times New Roman" w:eastAsia="方正公文仿宋" w:hAnsi="Times New Roman" w:hint="eastAsia"/>
                <w:color w:val="000000"/>
                <w:kern w:val="0"/>
                <w:sz w:val="24"/>
                <w:lang w:val="en"/>
              </w:rPr>
              <w:t>随机抽查</w:t>
            </w:r>
            <w:r>
              <w:rPr>
                <w:rFonts w:ascii="Times New Roman" w:eastAsia="方正公文仿宋" w:hAnsi="Times New Roman" w:hint="eastAsia"/>
                <w:color w:val="000000"/>
                <w:kern w:val="0"/>
                <w:sz w:val="24"/>
              </w:rPr>
              <w:t>不合格的单位加大抽查频次。</w:t>
            </w:r>
          </w:p>
        </w:tc>
        <w:tc>
          <w:tcPr>
            <w:tcW w:w="375" w:type="pct"/>
            <w:tcBorders>
              <w:top w:val="single" w:sz="4" w:space="0" w:color="auto"/>
              <w:left w:val="nil"/>
              <w:bottom w:val="single" w:sz="4" w:space="0" w:color="auto"/>
              <w:right w:val="single" w:sz="4" w:space="0" w:color="auto"/>
            </w:tcBorders>
            <w:vAlign w:val="center"/>
            <w:hideMark/>
          </w:tcPr>
          <w:p w14:paraId="714AB809"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现场、书面、网络检查相结合</w:t>
            </w:r>
          </w:p>
        </w:tc>
      </w:tr>
      <w:tr w:rsidR="002F53F7" w14:paraId="74AB2329" w14:textId="77777777" w:rsidTr="001A1024">
        <w:trPr>
          <w:trHeight w:val="2557"/>
          <w:jc w:val="center"/>
        </w:trPr>
        <w:tc>
          <w:tcPr>
            <w:tcW w:w="157" w:type="pct"/>
            <w:tcBorders>
              <w:top w:val="single" w:sz="4" w:space="0" w:color="auto"/>
              <w:left w:val="single" w:sz="4" w:space="0" w:color="auto"/>
              <w:bottom w:val="single" w:sz="4" w:space="0" w:color="auto"/>
              <w:right w:val="single" w:sz="4" w:space="0" w:color="auto"/>
            </w:tcBorders>
            <w:vAlign w:val="center"/>
            <w:hideMark/>
          </w:tcPr>
          <w:p w14:paraId="74FCACE9"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color w:val="000000"/>
                <w:kern w:val="0"/>
                <w:sz w:val="24"/>
              </w:rPr>
              <w:t>5</w:t>
            </w:r>
          </w:p>
        </w:tc>
        <w:tc>
          <w:tcPr>
            <w:tcW w:w="246" w:type="pct"/>
            <w:tcBorders>
              <w:top w:val="single" w:sz="4" w:space="0" w:color="auto"/>
              <w:left w:val="nil"/>
              <w:bottom w:val="single" w:sz="4" w:space="0" w:color="auto"/>
              <w:right w:val="single" w:sz="4" w:space="0" w:color="auto"/>
            </w:tcBorders>
            <w:vAlign w:val="center"/>
            <w:hideMark/>
          </w:tcPr>
          <w:p w14:paraId="1C826E44" w14:textId="77777777" w:rsidR="002F53F7" w:rsidRDefault="002F53F7">
            <w:pPr>
              <w:widowControl/>
              <w:spacing w:line="24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电子政务电子认证服务</w:t>
            </w:r>
          </w:p>
        </w:tc>
        <w:tc>
          <w:tcPr>
            <w:tcW w:w="405" w:type="pct"/>
            <w:tcBorders>
              <w:top w:val="single" w:sz="4" w:space="0" w:color="auto"/>
              <w:left w:val="nil"/>
              <w:bottom w:val="single" w:sz="4" w:space="0" w:color="auto"/>
              <w:right w:val="single" w:sz="4" w:space="0" w:color="auto"/>
            </w:tcBorders>
            <w:vAlign w:val="center"/>
            <w:hideMark/>
          </w:tcPr>
          <w:p w14:paraId="52CCF7DA"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电子政务电子认证服务随机抽查</w:t>
            </w:r>
          </w:p>
        </w:tc>
        <w:tc>
          <w:tcPr>
            <w:tcW w:w="617" w:type="pct"/>
            <w:tcBorders>
              <w:top w:val="single" w:sz="4" w:space="0" w:color="auto"/>
              <w:left w:val="nil"/>
              <w:bottom w:val="single" w:sz="4" w:space="0" w:color="auto"/>
              <w:right w:val="single" w:sz="4" w:space="0" w:color="auto"/>
            </w:tcBorders>
            <w:vAlign w:val="center"/>
            <w:hideMark/>
          </w:tcPr>
          <w:p w14:paraId="1C4D352C"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符合资质认定条件和要求、遵守从业规范、开展电子政务电子认证服务活动等情况</w:t>
            </w:r>
          </w:p>
        </w:tc>
        <w:tc>
          <w:tcPr>
            <w:tcW w:w="1648" w:type="pct"/>
            <w:tcBorders>
              <w:top w:val="single" w:sz="4" w:space="0" w:color="auto"/>
              <w:left w:val="nil"/>
              <w:bottom w:val="single" w:sz="4" w:space="0" w:color="auto"/>
              <w:right w:val="single" w:sz="4" w:space="0" w:color="auto"/>
            </w:tcBorders>
            <w:vAlign w:val="center"/>
            <w:hideMark/>
          </w:tcPr>
          <w:p w14:paraId="58FD9DB1"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《中华人民共和国密码法》第二十九条、第三十九条</w:t>
            </w:r>
          </w:p>
          <w:p w14:paraId="14977ECC"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《商用密码管理条例》（国务院令第</w:t>
            </w:r>
            <w:r>
              <w:rPr>
                <w:rFonts w:ascii="Times New Roman" w:eastAsia="方正公文仿宋" w:hAnsi="Times New Roman"/>
                <w:color w:val="000000"/>
                <w:kern w:val="0"/>
                <w:sz w:val="24"/>
              </w:rPr>
              <w:t>760</w:t>
            </w:r>
            <w:r>
              <w:rPr>
                <w:rFonts w:ascii="Times New Roman" w:eastAsia="方正公文仿宋" w:hAnsi="Times New Roman" w:hint="eastAsia"/>
                <w:color w:val="000000"/>
                <w:kern w:val="0"/>
                <w:sz w:val="24"/>
              </w:rPr>
              <w:t>号）第二十四条、第二十五条、第二十八条、第四十七条、第五十五条</w:t>
            </w:r>
          </w:p>
        </w:tc>
        <w:tc>
          <w:tcPr>
            <w:tcW w:w="266" w:type="pct"/>
            <w:tcBorders>
              <w:top w:val="single" w:sz="4" w:space="0" w:color="auto"/>
              <w:left w:val="nil"/>
              <w:bottom w:val="single" w:sz="4" w:space="0" w:color="auto"/>
              <w:right w:val="single" w:sz="4" w:space="0" w:color="auto"/>
            </w:tcBorders>
            <w:vAlign w:val="center"/>
            <w:hideMark/>
          </w:tcPr>
          <w:p w14:paraId="12E81661" w14:textId="77777777" w:rsidR="002F53F7" w:rsidRDefault="002F53F7">
            <w:pPr>
              <w:widowControl/>
              <w:spacing w:line="280" w:lineRule="exact"/>
              <w:jc w:val="center"/>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密码管理部门</w:t>
            </w:r>
          </w:p>
        </w:tc>
        <w:tc>
          <w:tcPr>
            <w:tcW w:w="461" w:type="pct"/>
            <w:tcBorders>
              <w:top w:val="single" w:sz="4" w:space="0" w:color="auto"/>
              <w:left w:val="nil"/>
              <w:bottom w:val="single" w:sz="4" w:space="0" w:color="auto"/>
              <w:right w:val="single" w:sz="4" w:space="0" w:color="auto"/>
            </w:tcBorders>
            <w:vAlign w:val="center"/>
            <w:hideMark/>
          </w:tcPr>
          <w:p w14:paraId="6CAF388A"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电子政务电子认证服务机构</w:t>
            </w:r>
          </w:p>
        </w:tc>
        <w:tc>
          <w:tcPr>
            <w:tcW w:w="825" w:type="pct"/>
            <w:tcBorders>
              <w:top w:val="single" w:sz="4" w:space="0" w:color="auto"/>
              <w:left w:val="nil"/>
              <w:bottom w:val="single" w:sz="4" w:space="0" w:color="auto"/>
              <w:right w:val="single" w:sz="4" w:space="0" w:color="auto"/>
            </w:tcBorders>
            <w:vAlign w:val="center"/>
            <w:hideMark/>
          </w:tcPr>
          <w:p w14:paraId="1918F3E8"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从电子政务电子认证服务机构名录中随机抽取。</w:t>
            </w:r>
            <w:r>
              <w:rPr>
                <w:rFonts w:ascii="Times New Roman" w:eastAsia="方正公文仿宋" w:hAnsi="Times New Roman"/>
                <w:sz w:val="24"/>
              </w:rPr>
              <w:t>3</w:t>
            </w:r>
            <w:r>
              <w:rPr>
                <w:rFonts w:ascii="Times New Roman" w:eastAsia="方正公文仿宋" w:hAnsi="Times New Roman" w:hint="eastAsia"/>
                <w:sz w:val="24"/>
              </w:rPr>
              <w:t>年内已接受随机抽查、无违法违规行为的，不列入随机抽查范围</w:t>
            </w:r>
            <w:r>
              <w:rPr>
                <w:rFonts w:ascii="Times New Roman" w:eastAsia="方正公文仿宋" w:hAnsi="Times New Roman" w:hint="eastAsia"/>
                <w:color w:val="000000"/>
                <w:kern w:val="0"/>
                <w:sz w:val="24"/>
              </w:rPr>
              <w:t>。对</w:t>
            </w:r>
            <w:r>
              <w:rPr>
                <w:rFonts w:ascii="Times New Roman" w:eastAsia="方正公文仿宋" w:hAnsi="Times New Roman" w:hint="eastAsia"/>
                <w:color w:val="000000"/>
                <w:kern w:val="0"/>
                <w:sz w:val="24"/>
                <w:lang w:val="en"/>
              </w:rPr>
              <w:t>随机抽查</w:t>
            </w:r>
            <w:r>
              <w:rPr>
                <w:rFonts w:ascii="Times New Roman" w:eastAsia="方正公文仿宋" w:hAnsi="Times New Roman" w:hint="eastAsia"/>
                <w:color w:val="000000"/>
                <w:kern w:val="0"/>
                <w:sz w:val="24"/>
              </w:rPr>
              <w:t>不合格的机构加大抽查频次。</w:t>
            </w:r>
          </w:p>
        </w:tc>
        <w:tc>
          <w:tcPr>
            <w:tcW w:w="375" w:type="pct"/>
            <w:tcBorders>
              <w:top w:val="single" w:sz="4" w:space="0" w:color="auto"/>
              <w:left w:val="nil"/>
              <w:bottom w:val="single" w:sz="4" w:space="0" w:color="auto"/>
              <w:right w:val="single" w:sz="4" w:space="0" w:color="auto"/>
            </w:tcBorders>
            <w:vAlign w:val="center"/>
            <w:hideMark/>
          </w:tcPr>
          <w:p w14:paraId="6D51C2CD" w14:textId="77777777" w:rsidR="002F53F7" w:rsidRDefault="002F53F7">
            <w:pPr>
              <w:widowControl/>
              <w:spacing w:line="280" w:lineRule="exact"/>
              <w:rPr>
                <w:rFonts w:ascii="Times New Roman" w:eastAsia="方正公文仿宋" w:hAnsi="Times New Roman"/>
                <w:color w:val="000000"/>
                <w:kern w:val="0"/>
                <w:sz w:val="24"/>
              </w:rPr>
            </w:pPr>
            <w:r>
              <w:rPr>
                <w:rFonts w:ascii="Times New Roman" w:eastAsia="方正公文仿宋" w:hAnsi="Times New Roman" w:hint="eastAsia"/>
                <w:color w:val="000000"/>
                <w:kern w:val="0"/>
                <w:sz w:val="24"/>
              </w:rPr>
              <w:t>现场、书面、网络检查相结合</w:t>
            </w:r>
          </w:p>
        </w:tc>
      </w:tr>
    </w:tbl>
    <w:bookmarkEnd w:id="0"/>
    <w:p w14:paraId="6470E34A" w14:textId="77777777" w:rsidR="002F53F7" w:rsidRDefault="002F53F7" w:rsidP="002F53F7">
      <w:pPr>
        <w:tabs>
          <w:tab w:val="left" w:pos="8500"/>
        </w:tabs>
        <w:jc w:val="left"/>
        <w:rPr>
          <w:lang w:val="en"/>
        </w:rPr>
      </w:pPr>
      <w:r>
        <w:rPr>
          <w:lang w:val="en"/>
        </w:rPr>
        <w:tab/>
      </w:r>
      <w:bookmarkEnd w:id="1"/>
      <w:bookmarkEnd w:id="2"/>
    </w:p>
    <w:p w14:paraId="07C4C6CA" w14:textId="77777777" w:rsidR="00743D04" w:rsidRPr="002F53F7" w:rsidRDefault="00743D04">
      <w:pPr>
        <w:rPr>
          <w:lang w:val="en"/>
        </w:rPr>
      </w:pPr>
    </w:p>
    <w:sectPr w:rsidR="00743D04" w:rsidRPr="002F53F7" w:rsidSect="002F53F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公文黑体">
    <w:altName w:val="微软雅黑"/>
    <w:charset w:val="86"/>
    <w:family w:val="auto"/>
    <w:pitch w:val="default"/>
    <w:sig w:usb0="00000001" w:usb1="08000000" w:usb2="00000000" w:usb3="00000000" w:csb0="00040000" w:csb1="00000000"/>
  </w:font>
  <w:font w:name="方正公文小标宋">
    <w:altName w:val="微软雅黑"/>
    <w:charset w:val="86"/>
    <w:family w:val="auto"/>
    <w:pitch w:val="default"/>
    <w:sig w:usb0="00000001" w:usb1="08000000" w:usb2="00000000" w:usb3="00000000" w:csb0="00040000" w:csb1="00000000"/>
  </w:font>
  <w:font w:name="方正公文仿宋">
    <w:altName w:val="微软雅黑"/>
    <w:charset w:val="86"/>
    <w:family w:val="auto"/>
    <w:pitch w:val="default"/>
    <w:sig w:usb0="00000001" w:usb1="08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2"/>
    <w:compatSetting w:name="useWord2013TrackBottomHyphenation" w:uri="http://schemas.microsoft.com/office/word" w:val="1"/>
  </w:compat>
  <w:rsids>
    <w:rsidRoot w:val="000A7324"/>
    <w:rsid w:val="000377BB"/>
    <w:rsid w:val="000A7324"/>
    <w:rsid w:val="000C5343"/>
    <w:rsid w:val="000F1F59"/>
    <w:rsid w:val="001A1024"/>
    <w:rsid w:val="002F53F7"/>
    <w:rsid w:val="005213EF"/>
    <w:rsid w:val="00743D04"/>
    <w:rsid w:val="00A91E41"/>
    <w:rsid w:val="00E71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FC91D"/>
  <w15:chartTrackingRefBased/>
  <w15:docId w15:val="{FD185787-AEAC-4E78-9D9A-0F29DBD0A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2F53F7"/>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semiHidden/>
    <w:unhideWhenUsed/>
    <w:qFormat/>
    <w:rsid w:val="002F53F7"/>
    <w:pPr>
      <w:spacing w:after="120"/>
    </w:pPr>
  </w:style>
  <w:style w:type="character" w:customStyle="1" w:styleId="a4">
    <w:name w:val="正文文本 字符"/>
    <w:basedOn w:val="a1"/>
    <w:link w:val="a0"/>
    <w:semiHidden/>
    <w:rsid w:val="002F53F7"/>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2051049">
      <w:bodyDiv w:val="1"/>
      <w:marLeft w:val="0"/>
      <w:marRight w:val="0"/>
      <w:marTop w:val="0"/>
      <w:marBottom w:val="0"/>
      <w:divBdr>
        <w:top w:val="none" w:sz="0" w:space="0" w:color="auto"/>
        <w:left w:val="none" w:sz="0" w:space="0" w:color="auto"/>
        <w:bottom w:val="none" w:sz="0" w:space="0" w:color="auto"/>
        <w:right w:val="none" w:sz="0" w:space="0" w:color="auto"/>
      </w:divBdr>
    </w:div>
    <w:div w:id="78990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defang zhao</dc:creator>
  <cp:keywords/>
  <dc:description/>
  <cp:lastModifiedBy>妤洁 胡</cp:lastModifiedBy>
  <cp:revision>4</cp:revision>
  <dcterms:created xsi:type="dcterms:W3CDTF">2024-07-22T10:04:00Z</dcterms:created>
  <dcterms:modified xsi:type="dcterms:W3CDTF">2024-07-22T12:43:00Z</dcterms:modified>
</cp:coreProperties>
</file>